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853D" w14:textId="416A91BF" w:rsidR="0030142C" w:rsidRDefault="009024D9" w:rsidP="00584C45">
      <w:pPr>
        <w:pStyle w:val="Corpsdetexte3"/>
        <w:spacing w:after="0" w:line="360" w:lineRule="auto"/>
        <w:rPr>
          <w:rFonts w:ascii="Arial" w:hAnsi="Arial" w:cs="Arial"/>
          <w:sz w:val="40"/>
          <w:szCs w:val="40"/>
        </w:rPr>
      </w:pPr>
      <w:r>
        <w:rPr>
          <w:rFonts w:ascii="Arial" w:hAnsi="Arial"/>
          <w:sz w:val="40"/>
          <w:szCs w:val="40"/>
        </w:rPr>
        <w:t>Nouvelle HIT V 11100 – Puissante et compacte</w:t>
      </w:r>
    </w:p>
    <w:p w14:paraId="3066325E" w14:textId="06BB9C5A" w:rsidR="009024D9" w:rsidRPr="009024D9" w:rsidRDefault="009024D9" w:rsidP="00584C45">
      <w:pPr>
        <w:pStyle w:val="Corpsdetexte3"/>
        <w:spacing w:after="0" w:line="360" w:lineRule="auto"/>
        <w:rPr>
          <w:rFonts w:ascii="Arial" w:hAnsi="Arial" w:cs="Arial"/>
          <w:sz w:val="32"/>
          <w:szCs w:val="32"/>
        </w:rPr>
      </w:pPr>
      <w:r>
        <w:rPr>
          <w:rFonts w:ascii="Arial" w:hAnsi="Arial"/>
          <w:sz w:val="32"/>
          <w:szCs w:val="32"/>
        </w:rPr>
        <w:t>Une nouvelle faneuse PÖTTINGER hors catégorie</w:t>
      </w:r>
    </w:p>
    <w:p w14:paraId="48DBC49C" w14:textId="75414917" w:rsidR="004627DF" w:rsidRPr="004627DF" w:rsidRDefault="009024D9" w:rsidP="00584C45">
      <w:pPr>
        <w:spacing w:line="360" w:lineRule="auto"/>
        <w:jc w:val="both"/>
        <w:rPr>
          <w:rFonts w:ascii="Arial" w:hAnsi="Arial" w:cs="Arial"/>
        </w:rPr>
      </w:pPr>
      <w:r>
        <w:rPr>
          <w:rFonts w:ascii="Arial" w:hAnsi="Arial"/>
        </w:rPr>
        <w:t>Le spécialiste de la récolte et de la fenaison PÖTTINGER tient compte des exigences légitimes d'une agriculture tournée vers l'efficacité et la rentabilité avec sa nouvelle faneuse portée à dix rotors. Avec ses toupies de 1,42 m et sa largeur de travail de 10,70 m (DIN), la HIT V 11100 allie une excellente qualité de fanage à un débit de chantier maximal. La HIT paraît bien modeste lors du transport, mais aux champs, elle est parmi les plus grandes. Elle déploie ses finesses techniques sur toute sa largeur.</w:t>
      </w:r>
    </w:p>
    <w:p w14:paraId="2F822333" w14:textId="2D652D9A" w:rsidR="00115487" w:rsidRDefault="00115487" w:rsidP="00584C45">
      <w:pPr>
        <w:pStyle w:val="Corpsdetexte3"/>
        <w:spacing w:after="0" w:line="360" w:lineRule="auto"/>
        <w:jc w:val="both"/>
        <w:rPr>
          <w:rFonts w:ascii="Arial" w:hAnsi="Arial" w:cs="Arial"/>
          <w:b/>
          <w:bCs/>
          <w:sz w:val="24"/>
          <w:szCs w:val="24"/>
        </w:rPr>
      </w:pPr>
    </w:p>
    <w:p w14:paraId="20E8CCA8" w14:textId="553A50A4" w:rsidR="00215009" w:rsidRPr="00215009" w:rsidRDefault="00F2404A" w:rsidP="00584C45">
      <w:pPr>
        <w:pStyle w:val="Corpsdetexte3"/>
        <w:spacing w:after="0" w:line="360" w:lineRule="auto"/>
        <w:jc w:val="both"/>
        <w:rPr>
          <w:rFonts w:ascii="Arial" w:hAnsi="Arial" w:cs="Arial"/>
          <w:b/>
          <w:bCs/>
          <w:sz w:val="24"/>
          <w:szCs w:val="24"/>
        </w:rPr>
      </w:pPr>
      <w:r>
        <w:rPr>
          <w:rFonts w:ascii="Arial" w:hAnsi="Arial"/>
          <w:b/>
          <w:bCs/>
          <w:sz w:val="24"/>
          <w:szCs w:val="24"/>
        </w:rPr>
        <w:t>Compacité et robustesse – lors de l'utilisation</w:t>
      </w:r>
    </w:p>
    <w:p w14:paraId="017AC379" w14:textId="146FE411" w:rsidR="00491F1B" w:rsidRPr="00491F1B" w:rsidRDefault="00F2404A" w:rsidP="00584C45">
      <w:pPr>
        <w:pStyle w:val="Corpsdetexte3"/>
        <w:spacing w:after="0" w:line="360" w:lineRule="auto"/>
        <w:jc w:val="both"/>
        <w:rPr>
          <w:rFonts w:ascii="Arial" w:hAnsi="Arial" w:cs="Arial"/>
          <w:sz w:val="24"/>
          <w:szCs w:val="24"/>
        </w:rPr>
      </w:pPr>
      <w:r>
        <w:rPr>
          <w:rFonts w:ascii="Arial" w:hAnsi="Arial"/>
          <w:sz w:val="24"/>
          <w:szCs w:val="24"/>
        </w:rPr>
        <w:t>Grâce à la tête d'attelage compacte, le centre de gravité reste proche du tracteur.</w:t>
      </w:r>
      <w:r w:rsidR="00584C45">
        <w:rPr>
          <w:rFonts w:ascii="Arial" w:hAnsi="Arial"/>
          <w:sz w:val="24"/>
          <w:szCs w:val="24"/>
        </w:rPr>
        <w:t xml:space="preserve"> Ainsi, c</w:t>
      </w:r>
      <w:r>
        <w:rPr>
          <w:rFonts w:ascii="Arial" w:hAnsi="Arial"/>
          <w:sz w:val="24"/>
          <w:szCs w:val="24"/>
        </w:rPr>
        <w:t xml:space="preserve">omme sur toutes les faneuses portées PÖTTINGER, une utilisation en toute sécurité dans les côtes, même en bout de champ, et un comportement sûr lors du transport sur route sont garantis. Au remisage, la HIT est un succès, car elle ne prend que peu de place. En tant qu'élément porteur, les barres de protection avant augmentent la stabilité. La construction en ossature renforce les tubes de section vissés du châssis principal. Cela permet d'augmenter la capacité de charge et la durée de vie de l'ensemble de la faneuse. </w:t>
      </w:r>
    </w:p>
    <w:p w14:paraId="75287605" w14:textId="77777777" w:rsidR="00491F1B" w:rsidRDefault="00491F1B" w:rsidP="00584C45">
      <w:pPr>
        <w:pStyle w:val="Corpsdetexte3"/>
        <w:spacing w:after="0" w:line="360" w:lineRule="auto"/>
        <w:jc w:val="both"/>
        <w:rPr>
          <w:rFonts w:ascii="Arial" w:hAnsi="Arial" w:cs="Arial"/>
          <w:sz w:val="24"/>
          <w:szCs w:val="24"/>
        </w:rPr>
      </w:pPr>
    </w:p>
    <w:p w14:paraId="6CE75493" w14:textId="29675CF2" w:rsidR="009F17C1" w:rsidRPr="009F17C1" w:rsidRDefault="009F17C1" w:rsidP="00584C45">
      <w:pPr>
        <w:pStyle w:val="Corpsdetexte3"/>
        <w:spacing w:after="0" w:line="360" w:lineRule="auto"/>
        <w:jc w:val="both"/>
        <w:rPr>
          <w:rFonts w:ascii="Arial" w:hAnsi="Arial" w:cs="Arial"/>
          <w:b/>
          <w:bCs/>
          <w:sz w:val="24"/>
          <w:szCs w:val="24"/>
        </w:rPr>
      </w:pPr>
      <w:r>
        <w:rPr>
          <w:rFonts w:ascii="Arial" w:hAnsi="Arial"/>
          <w:b/>
          <w:bCs/>
          <w:sz w:val="24"/>
          <w:szCs w:val="24"/>
        </w:rPr>
        <w:t>Tête d'attelage pivotante sophistiquée, munie d'une rotule</w:t>
      </w:r>
    </w:p>
    <w:p w14:paraId="73A9616D" w14:textId="04619AF4" w:rsidR="00F2404A" w:rsidRPr="0088742A" w:rsidRDefault="009F17C1" w:rsidP="00584C45">
      <w:pPr>
        <w:pStyle w:val="Corpsdetexte3"/>
        <w:spacing w:after="0" w:line="360" w:lineRule="auto"/>
        <w:jc w:val="both"/>
        <w:rPr>
          <w:rFonts w:ascii="Arial" w:hAnsi="Arial" w:cs="Arial"/>
          <w:sz w:val="24"/>
          <w:szCs w:val="24"/>
        </w:rPr>
      </w:pPr>
      <w:r>
        <w:rPr>
          <w:rFonts w:ascii="Arial" w:hAnsi="Arial"/>
          <w:sz w:val="24"/>
          <w:szCs w:val="24"/>
        </w:rPr>
        <w:t xml:space="preserve">Sur toutes les faneuses HIT de PÖTTINGER, la tête d'attelage est conçue comme un bloc pivotant. La nouvelle HIT V 11100 est équipée d'une tête d'attelage pivotante, munie d'une rotule à guidage linéaire et de série de deux amortisseurs hydrauliques. </w:t>
      </w:r>
    </w:p>
    <w:p w14:paraId="3796DEE0" w14:textId="7F7FF165" w:rsidR="00E91883" w:rsidRPr="00E91883" w:rsidRDefault="00E91883" w:rsidP="00584C45">
      <w:pPr>
        <w:pStyle w:val="Corpsdetexte3"/>
        <w:spacing w:after="0" w:line="360" w:lineRule="auto"/>
        <w:jc w:val="both"/>
        <w:rPr>
          <w:rFonts w:ascii="Arial" w:hAnsi="Arial" w:cs="Arial"/>
          <w:sz w:val="24"/>
          <w:szCs w:val="24"/>
        </w:rPr>
      </w:pPr>
      <w:r>
        <w:rPr>
          <w:rFonts w:ascii="Arial" w:hAnsi="Arial"/>
          <w:sz w:val="24"/>
          <w:szCs w:val="24"/>
        </w:rPr>
        <w:t>La machine maintient un suivi optimal lors du fanage. La force de recentrage importante des amortisseurs hydrauliques garantit ainsi une conduite stable des dix toupies, sans secousses latérales. De plus, la pression dans les vérins évite toute perte de contrôle dans les descentes. Pour chaque vérin hydraulique, une boule d'azote amortit les mouvements horizontaux et un amortisseur en caoutchouc supplémentaire absorbe les chocs.</w:t>
      </w:r>
    </w:p>
    <w:p w14:paraId="41EB4224" w14:textId="513B0984" w:rsidR="00491F1B" w:rsidRPr="00491F1B" w:rsidRDefault="00E91883" w:rsidP="00584C45">
      <w:pPr>
        <w:pStyle w:val="CP"/>
        <w:spacing w:line="360" w:lineRule="auto"/>
        <w:jc w:val="both"/>
        <w:rPr>
          <w:rFonts w:ascii="Arial" w:eastAsia="Times New Roman" w:hAnsi="Arial" w:cs="Arial"/>
          <w:color w:val="auto"/>
          <w:spacing w:val="0"/>
          <w:sz w:val="24"/>
          <w:szCs w:val="24"/>
        </w:rPr>
      </w:pPr>
      <w:r>
        <w:rPr>
          <w:rFonts w:ascii="Arial" w:hAnsi="Arial"/>
          <w:color w:val="auto"/>
          <w:sz w:val="24"/>
          <w:szCs w:val="24"/>
        </w:rPr>
        <w:lastRenderedPageBreak/>
        <w:t>Lors du relèvement en bout de champ, la faneuse bascule tout d'abord vers l'arrière dans la limite du guidage linéaire (trous oblong). Ainsi, les vérins amortisseurs sont repoussés en butée pour maintenir efficacement l'outil en position centrale. La faneuse revient en douceur en position centrale. En outre, le fait de basculer lors du relevage fait que les toupies s'inclinent vers l'arrière. Ainsi, les dents ne risquent pas de piquer en terre et le fourrage reste propre.</w:t>
      </w:r>
    </w:p>
    <w:p w14:paraId="5884206B" w14:textId="39348E94" w:rsidR="00E91883" w:rsidRDefault="00E91883" w:rsidP="00584C45">
      <w:pPr>
        <w:pStyle w:val="Corpsdetexte3"/>
        <w:spacing w:after="0" w:line="360" w:lineRule="auto"/>
        <w:jc w:val="both"/>
        <w:rPr>
          <w:rFonts w:ascii="Arial" w:hAnsi="Arial" w:cs="Arial"/>
          <w:sz w:val="24"/>
          <w:szCs w:val="24"/>
        </w:rPr>
      </w:pPr>
    </w:p>
    <w:p w14:paraId="34C9A0C4" w14:textId="77777777" w:rsidR="00491F1B" w:rsidRDefault="00491F1B" w:rsidP="00584C45">
      <w:pPr>
        <w:pStyle w:val="Corpsdetexte3"/>
        <w:spacing w:after="0" w:line="360" w:lineRule="auto"/>
        <w:jc w:val="both"/>
        <w:rPr>
          <w:rFonts w:ascii="Arial" w:hAnsi="Arial" w:cs="Arial"/>
          <w:b/>
          <w:bCs/>
          <w:sz w:val="24"/>
          <w:szCs w:val="24"/>
        </w:rPr>
      </w:pPr>
      <w:r>
        <w:rPr>
          <w:rFonts w:ascii="Arial" w:hAnsi="Arial"/>
          <w:b/>
          <w:bCs/>
          <w:sz w:val="24"/>
          <w:szCs w:val="24"/>
        </w:rPr>
        <w:t>Compacité et robustesse – lors des déplacements</w:t>
      </w:r>
    </w:p>
    <w:p w14:paraId="3669BF99" w14:textId="77777777" w:rsidR="00B2609E" w:rsidRDefault="00491F1B" w:rsidP="00584C45">
      <w:pPr>
        <w:pStyle w:val="Corpsdetexte3"/>
        <w:spacing w:after="0" w:line="360" w:lineRule="auto"/>
        <w:jc w:val="both"/>
        <w:rPr>
          <w:rFonts w:ascii="Arial" w:hAnsi="Arial" w:cs="Arial"/>
          <w:sz w:val="24"/>
          <w:szCs w:val="24"/>
        </w:rPr>
      </w:pPr>
      <w:r>
        <w:rPr>
          <w:rFonts w:ascii="Arial" w:hAnsi="Arial"/>
          <w:sz w:val="24"/>
          <w:szCs w:val="24"/>
        </w:rPr>
        <w:t>La</w:t>
      </w:r>
      <w:r>
        <w:rPr>
          <w:rFonts w:ascii="Arial" w:hAnsi="Arial"/>
          <w:b/>
          <w:bCs/>
          <w:sz w:val="24"/>
          <w:szCs w:val="24"/>
        </w:rPr>
        <w:t xml:space="preserve"> </w:t>
      </w:r>
      <w:r>
        <w:rPr>
          <w:rFonts w:ascii="Arial" w:hAnsi="Arial"/>
          <w:sz w:val="24"/>
          <w:szCs w:val="24"/>
        </w:rPr>
        <w:t xml:space="preserve"> HIT V 11100 bénéficie d'une position de transport particulièrement compacte avec seulement 3,40 m de haut et 2,99 m de large. </w:t>
      </w:r>
    </w:p>
    <w:p w14:paraId="36E56633" w14:textId="2809F7FD" w:rsidR="00491F1B" w:rsidRDefault="00491F1B" w:rsidP="00584C45">
      <w:pPr>
        <w:pStyle w:val="Corpsdetexte3"/>
        <w:spacing w:after="0" w:line="360" w:lineRule="auto"/>
        <w:jc w:val="both"/>
        <w:rPr>
          <w:rFonts w:ascii="Arial" w:hAnsi="Arial"/>
          <w:sz w:val="24"/>
          <w:szCs w:val="24"/>
        </w:rPr>
      </w:pPr>
      <w:r>
        <w:rPr>
          <w:rFonts w:ascii="Arial" w:hAnsi="Arial"/>
          <w:sz w:val="24"/>
          <w:szCs w:val="24"/>
        </w:rPr>
        <w:t>Le centre de gravité bas offre une sécurité maximale pour le transport sur route : en position de transport, les deux toupies extérieures sont pivotées à 180° de chaque côté. Une sécurité de transport électrique est disponible en option. Panneaux de signalisation et éclairage LED sont de série.</w:t>
      </w:r>
    </w:p>
    <w:p w14:paraId="217B6AF8" w14:textId="77777777" w:rsidR="00584C45" w:rsidRPr="009F3747" w:rsidRDefault="00584C45" w:rsidP="00584C45">
      <w:pPr>
        <w:pStyle w:val="Corpsdetexte3"/>
        <w:spacing w:after="0" w:line="360" w:lineRule="auto"/>
        <w:jc w:val="both"/>
        <w:rPr>
          <w:rFonts w:ascii="Arial" w:hAnsi="Arial" w:cs="Arial"/>
          <w:sz w:val="24"/>
          <w:szCs w:val="24"/>
        </w:rPr>
      </w:pPr>
    </w:p>
    <w:p w14:paraId="4A7DB5D3" w14:textId="77777777" w:rsidR="00B2609E" w:rsidRDefault="00B2609E" w:rsidP="00584C45">
      <w:pPr>
        <w:pStyle w:val="Corpsdetexte3"/>
        <w:spacing w:after="0" w:line="360" w:lineRule="auto"/>
        <w:jc w:val="both"/>
        <w:rPr>
          <w:rFonts w:ascii="Arial" w:hAnsi="Arial" w:cs="Arial"/>
          <w:b/>
          <w:bCs/>
          <w:sz w:val="24"/>
          <w:szCs w:val="24"/>
        </w:rPr>
      </w:pPr>
      <w:r>
        <w:rPr>
          <w:rFonts w:ascii="Arial" w:hAnsi="Arial"/>
          <w:b/>
          <w:bCs/>
          <w:sz w:val="24"/>
          <w:szCs w:val="24"/>
        </w:rPr>
        <w:t>Système éprouvé</w:t>
      </w:r>
    </w:p>
    <w:p w14:paraId="4D010244" w14:textId="233D9203" w:rsidR="009F17C1" w:rsidRDefault="00B2609E" w:rsidP="00584C45">
      <w:pPr>
        <w:pStyle w:val="Corpsdetexte3"/>
        <w:spacing w:after="0" w:line="360" w:lineRule="auto"/>
        <w:jc w:val="both"/>
        <w:rPr>
          <w:rFonts w:ascii="Arial" w:hAnsi="Arial" w:cs="Arial"/>
          <w:sz w:val="24"/>
          <w:szCs w:val="24"/>
        </w:rPr>
      </w:pPr>
      <w:r>
        <w:rPr>
          <w:rFonts w:ascii="Arial" w:hAnsi="Arial"/>
          <w:sz w:val="24"/>
          <w:szCs w:val="24"/>
        </w:rPr>
        <w:t xml:space="preserve">Les toupies DYNATECH sont </w:t>
      </w:r>
      <w:r>
        <w:rPr>
          <w:rFonts w:ascii="Arial" w:hAnsi="Arial"/>
          <w:color w:val="000000" w:themeColor="text1"/>
          <w:sz w:val="24"/>
          <w:szCs w:val="24"/>
        </w:rPr>
        <w:t>toujours à l'avant-garde</w:t>
      </w:r>
      <w:r>
        <w:rPr>
          <w:rFonts w:ascii="Arial" w:hAnsi="Arial"/>
          <w:sz w:val="24"/>
          <w:szCs w:val="24"/>
        </w:rPr>
        <w:t>, le cœur des faneuses HIT de PÖTTINGER. Le diamètre des toupies est idéal avec seulement 1,42 m. Les six bras porte-dents courbes ramassent le fourrage proprement et le fanage est parfaitement homogène grâce à la possibilité de régler sans outillage l'inclinaison des toupies.</w:t>
      </w:r>
    </w:p>
    <w:p w14:paraId="226C781F" w14:textId="462BFBB5" w:rsidR="00D839D6" w:rsidRPr="00D839D6" w:rsidRDefault="0093496E" w:rsidP="00584C45">
      <w:pPr>
        <w:pStyle w:val="Corpsdetexte3"/>
        <w:spacing w:after="0" w:line="360" w:lineRule="auto"/>
        <w:jc w:val="both"/>
        <w:rPr>
          <w:rFonts w:ascii="Arial" w:hAnsi="Arial" w:cs="Arial"/>
          <w:sz w:val="24"/>
          <w:szCs w:val="24"/>
        </w:rPr>
      </w:pPr>
      <w:r>
        <w:rPr>
          <w:rFonts w:ascii="Arial" w:hAnsi="Arial"/>
          <w:sz w:val="24"/>
          <w:szCs w:val="24"/>
        </w:rPr>
        <w:t>La roue de jauge éprouvée MULTITAST garantit la meilleure adaptation au sol. En option, cette roue de jauge supplémentaire MULTITAST, fixée sur la tête d'attelage, reconnaît le sol juste devant les dents et réagit à chaque irrégularité du terrain. La distance idéale entre les dents et le sol reste conservée. Le résultat : un fourrage propre et une couche végétale préservée.</w:t>
      </w:r>
    </w:p>
    <w:p w14:paraId="12B90EE6" w14:textId="3649038C" w:rsidR="0093496E" w:rsidRPr="0093496E" w:rsidRDefault="0093496E" w:rsidP="00584C45">
      <w:pPr>
        <w:pStyle w:val="Corpsdetexte3"/>
        <w:spacing w:after="0" w:line="360" w:lineRule="auto"/>
        <w:jc w:val="both"/>
        <w:rPr>
          <w:rFonts w:ascii="Arial" w:hAnsi="Arial" w:cs="Arial"/>
          <w:sz w:val="24"/>
          <w:szCs w:val="24"/>
        </w:rPr>
      </w:pPr>
    </w:p>
    <w:p w14:paraId="771A7086" w14:textId="14394B61" w:rsidR="005C202C" w:rsidRPr="0030142C" w:rsidRDefault="001D55B0" w:rsidP="00584C45">
      <w:pPr>
        <w:pStyle w:val="Corpsdetexte3"/>
        <w:spacing w:after="0" w:line="360" w:lineRule="auto"/>
        <w:jc w:val="both"/>
        <w:rPr>
          <w:rFonts w:ascii="Arial" w:hAnsi="Arial"/>
          <w:sz w:val="24"/>
          <w:szCs w:val="24"/>
        </w:rPr>
      </w:pPr>
      <w:r>
        <w:rPr>
          <w:rFonts w:ascii="Arial" w:hAnsi="Arial"/>
          <w:sz w:val="24"/>
          <w:szCs w:val="24"/>
        </w:rPr>
        <w:t>La nouvelle HIT V 11100 est une faneuse hors catégorie, qui garantit les meilleures performances de récolte en combinant débit de chantier élevé, qualité de fourrage et préservation de la couche végétale.</w:t>
      </w:r>
    </w:p>
    <w:p w14:paraId="1D1D5B1C" w14:textId="20643170" w:rsidR="0030142C" w:rsidRPr="00584C45" w:rsidRDefault="0030142C" w:rsidP="00584C45">
      <w:pPr>
        <w:rPr>
          <w:rFonts w:ascii="HelveticaNeueLT W1G 45 Lt" w:eastAsia="Calibri" w:hAnsi="HelveticaNeueLT W1G 45 Lt" w:cs="HelveticaNeueLT W1G 45 Lt"/>
          <w:color w:val="000000"/>
          <w:spacing w:val="2"/>
          <w:sz w:val="18"/>
          <w:szCs w:val="18"/>
        </w:rPr>
      </w:pPr>
    </w:p>
    <w:p w14:paraId="3EC951A1" w14:textId="4C4D7351" w:rsidR="00187216" w:rsidRPr="00584C45" w:rsidRDefault="00187216" w:rsidP="00584C45">
      <w:pPr>
        <w:rPr>
          <w:rFonts w:ascii="HelveticaNeueLT W1G 45 Lt" w:eastAsia="Calibri" w:hAnsi="HelveticaNeueLT W1G 45 Lt" w:cs="HelveticaNeueLT W1G 45 Lt"/>
          <w:color w:val="000000"/>
          <w:spacing w:val="2"/>
          <w:sz w:val="18"/>
          <w:szCs w:val="18"/>
        </w:rPr>
      </w:pPr>
    </w:p>
    <w:p w14:paraId="524DBE7F" w14:textId="77777777" w:rsidR="00187216" w:rsidRPr="00584C45" w:rsidRDefault="00187216" w:rsidP="00584C45">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584C45">
      <w:pPr>
        <w:pStyle w:val="Corpsdetexte3"/>
        <w:rPr>
          <w:rFonts w:ascii="Arial" w:hAnsi="Arial" w:cs="Arial"/>
          <w:b/>
          <w:sz w:val="24"/>
          <w:szCs w:val="24"/>
        </w:rPr>
      </w:pPr>
      <w:r>
        <w:rPr>
          <w:rFonts w:ascii="Arial" w:hAnsi="Arial"/>
          <w:b/>
          <w:sz w:val="24"/>
          <w:szCs w:val="24"/>
        </w:rPr>
        <w:lastRenderedPageBreak/>
        <w:t xml:space="preserve">Aperçu des photos :  </w:t>
      </w:r>
    </w:p>
    <w:p w14:paraId="2E6C16E8" w14:textId="77777777" w:rsidR="007C4AB4" w:rsidRDefault="007C4AB4" w:rsidP="007C4AB4">
      <w:pPr>
        <w:pStyle w:val="Corpsdetexte3"/>
        <w:rPr>
          <w:noProof/>
          <w:lang w:eastAsia="de-DE"/>
        </w:rPr>
      </w:pPr>
    </w:p>
    <w:tbl>
      <w:tblPr>
        <w:tblStyle w:val="Grilledutableau"/>
        <w:tblW w:w="0" w:type="auto"/>
        <w:tblLook w:val="04A0" w:firstRow="1" w:lastRow="0" w:firstColumn="1" w:lastColumn="0" w:noHBand="0" w:noVBand="1"/>
      </w:tblPr>
      <w:tblGrid>
        <w:gridCol w:w="4460"/>
        <w:gridCol w:w="4460"/>
      </w:tblGrid>
      <w:tr w:rsidR="007C4AB4" w:rsidRPr="005830B6" w14:paraId="1FE31EBB" w14:textId="77777777" w:rsidTr="00B33FFE">
        <w:tc>
          <w:tcPr>
            <w:tcW w:w="4151" w:type="dxa"/>
          </w:tcPr>
          <w:p w14:paraId="03B79A67" w14:textId="77777777" w:rsidR="007C4AB4" w:rsidRPr="005830B6" w:rsidRDefault="007C4AB4" w:rsidP="00B33FFE">
            <w:pPr>
              <w:pStyle w:val="Corpsdetexte3"/>
              <w:spacing w:after="0"/>
              <w:jc w:val="center"/>
              <w:rPr>
                <w:noProof/>
              </w:rPr>
            </w:pPr>
          </w:p>
          <w:p w14:paraId="35AB05E9" w14:textId="77777777" w:rsidR="007C4AB4" w:rsidRPr="005830B6" w:rsidRDefault="007C4AB4" w:rsidP="00B33FFE">
            <w:pPr>
              <w:pStyle w:val="Corpsdetexte3"/>
              <w:spacing w:after="0"/>
              <w:jc w:val="center"/>
              <w:rPr>
                <w:noProof/>
              </w:rPr>
            </w:pPr>
            <w:r w:rsidRPr="005830B6">
              <w:rPr>
                <w:noProof/>
              </w:rPr>
              <w:drawing>
                <wp:inline distT="0" distB="0" distL="0" distR="0" wp14:anchorId="3EB2319B" wp14:editId="5525E618">
                  <wp:extent cx="1143000" cy="762000"/>
                  <wp:effectExtent l="0" t="0" r="0" b="0"/>
                  <wp:docPr id="3" name="Grafik 3" descr="Ein Bild, das Gras, Berg,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Berg, draußen, Fel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7D0E80BA" w14:textId="77777777" w:rsidR="007C4AB4" w:rsidRPr="005830B6" w:rsidRDefault="007C4AB4" w:rsidP="00B33FFE">
            <w:pPr>
              <w:pStyle w:val="Corpsdetexte3"/>
              <w:spacing w:after="0"/>
              <w:jc w:val="center"/>
              <w:rPr>
                <w:noProof/>
              </w:rPr>
            </w:pPr>
          </w:p>
          <w:p w14:paraId="306D4B8B" w14:textId="77777777" w:rsidR="007C4AB4" w:rsidRPr="005830B6" w:rsidRDefault="007C4AB4" w:rsidP="00B33FFE">
            <w:pPr>
              <w:pStyle w:val="Corpsdetexte3"/>
              <w:spacing w:after="0"/>
              <w:jc w:val="center"/>
              <w:rPr>
                <w:noProof/>
              </w:rPr>
            </w:pPr>
            <w:r w:rsidRPr="005830B6">
              <w:rPr>
                <w:noProof/>
              </w:rPr>
              <w:drawing>
                <wp:inline distT="0" distB="0" distL="0" distR="0" wp14:anchorId="29F8F7F1" wp14:editId="4F4CAE7E">
                  <wp:extent cx="1143000" cy="762000"/>
                  <wp:effectExtent l="0" t="0" r="0" b="0"/>
                  <wp:docPr id="1" name="Grafik 1" descr="Ein Bild, das Gras, Himmel,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s, Himmel, draußen, Feld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6BF7E398" w14:textId="77777777" w:rsidR="007C4AB4" w:rsidRPr="005830B6" w:rsidRDefault="007C4AB4" w:rsidP="00B33FFE">
            <w:pPr>
              <w:pStyle w:val="Corpsdetexte3"/>
              <w:spacing w:after="0"/>
              <w:rPr>
                <w:noProof/>
              </w:rPr>
            </w:pPr>
          </w:p>
        </w:tc>
      </w:tr>
      <w:tr w:rsidR="007C4AB4" w:rsidRPr="007C4AB4" w14:paraId="0E4D4DF1" w14:textId="77777777" w:rsidTr="00B33FFE">
        <w:tc>
          <w:tcPr>
            <w:tcW w:w="4151" w:type="dxa"/>
          </w:tcPr>
          <w:p w14:paraId="671E9D9C" w14:textId="0990F474" w:rsidR="007C4AB4" w:rsidRPr="007C4AB4" w:rsidRDefault="007C4AB4" w:rsidP="00B33FFE">
            <w:pPr>
              <w:pStyle w:val="Corpsdetexte3"/>
              <w:jc w:val="center"/>
              <w:rPr>
                <w:rFonts w:ascii="Arial" w:hAnsi="Arial" w:cs="Arial"/>
                <w:sz w:val="22"/>
                <w:szCs w:val="22"/>
              </w:rPr>
            </w:pPr>
            <w:r>
              <w:rPr>
                <w:rFonts w:ascii="Arial" w:hAnsi="Arial"/>
                <w:sz w:val="22"/>
                <w:szCs w:val="22"/>
              </w:rPr>
              <w:t>La nouvelle faneuse HIT V 11100 T tire pleinement parti de ses atouts</w:t>
            </w:r>
          </w:p>
        </w:tc>
        <w:tc>
          <w:tcPr>
            <w:tcW w:w="4152" w:type="dxa"/>
          </w:tcPr>
          <w:p w14:paraId="1C9153EC" w14:textId="0CA7D9AF" w:rsidR="007C4AB4" w:rsidRPr="007C4AB4" w:rsidRDefault="007C4AB4" w:rsidP="00B33FFE">
            <w:pPr>
              <w:pStyle w:val="Corpsdetexte3"/>
              <w:jc w:val="center"/>
              <w:rPr>
                <w:rFonts w:ascii="Arial" w:hAnsi="Arial" w:cs="Arial"/>
                <w:sz w:val="22"/>
                <w:szCs w:val="22"/>
              </w:rPr>
            </w:pPr>
            <w:r>
              <w:rPr>
                <w:rFonts w:ascii="Arial" w:hAnsi="Arial"/>
                <w:sz w:val="22"/>
                <w:szCs w:val="22"/>
              </w:rPr>
              <w:t xml:space="preserve">Un résultat de travail optimal grâce à la </w:t>
            </w:r>
            <w:r w:rsidR="00392EFB">
              <w:rPr>
                <w:rFonts w:ascii="Arial" w:hAnsi="Arial"/>
                <w:sz w:val="22"/>
                <w:szCs w:val="22"/>
              </w:rPr>
              <w:br/>
            </w:r>
            <w:r>
              <w:rPr>
                <w:rFonts w:ascii="Arial" w:hAnsi="Arial"/>
                <w:sz w:val="22"/>
                <w:szCs w:val="22"/>
              </w:rPr>
              <w:t>HIT V 11100 compacte</w:t>
            </w:r>
          </w:p>
        </w:tc>
      </w:tr>
      <w:tr w:rsidR="007C4AB4" w:rsidRPr="007C4AB4" w14:paraId="0A8E5F76" w14:textId="77777777" w:rsidTr="00B33FFE">
        <w:tc>
          <w:tcPr>
            <w:tcW w:w="4151" w:type="dxa"/>
          </w:tcPr>
          <w:p w14:paraId="46B3DBC9" w14:textId="77777777" w:rsidR="007C4AB4" w:rsidRPr="00392EFB" w:rsidRDefault="00392EFB" w:rsidP="00B33FFE">
            <w:pPr>
              <w:pStyle w:val="Corpsdetexte3"/>
              <w:jc w:val="center"/>
              <w:rPr>
                <w:rFonts w:ascii="Arial" w:hAnsi="Arial" w:cs="Arial"/>
                <w:color w:val="FF00FF"/>
                <w:sz w:val="20"/>
                <w:szCs w:val="20"/>
              </w:rPr>
            </w:pPr>
            <w:hyperlink r:id="rId10" w:history="1">
              <w:r w:rsidR="007C4AB4" w:rsidRPr="00392EFB">
                <w:rPr>
                  <w:rStyle w:val="Lienhypertexte"/>
                  <w:rFonts w:ascii="Arial" w:hAnsi="Arial" w:cs="Arial"/>
                  <w:sz w:val="20"/>
                  <w:szCs w:val="20"/>
                </w:rPr>
                <w:t>https://www.poettinger.at/de_at/Newsroom/Pressebild/5202</w:t>
              </w:r>
            </w:hyperlink>
          </w:p>
        </w:tc>
        <w:tc>
          <w:tcPr>
            <w:tcW w:w="4152" w:type="dxa"/>
          </w:tcPr>
          <w:p w14:paraId="7D038190" w14:textId="77777777" w:rsidR="007C4AB4" w:rsidRPr="00392EFB" w:rsidRDefault="00392EFB" w:rsidP="00B33FFE">
            <w:pPr>
              <w:pStyle w:val="Corpsdetexte3"/>
              <w:jc w:val="center"/>
              <w:rPr>
                <w:rFonts w:ascii="Arial" w:hAnsi="Arial" w:cs="Arial"/>
                <w:color w:val="0000FF"/>
                <w:sz w:val="20"/>
                <w:szCs w:val="20"/>
                <w:u w:val="single"/>
              </w:rPr>
            </w:pPr>
            <w:hyperlink r:id="rId11" w:history="1">
              <w:r w:rsidR="007C4AB4" w:rsidRPr="00392EFB">
                <w:rPr>
                  <w:rStyle w:val="Lienhypertexte"/>
                  <w:rFonts w:ascii="Arial" w:hAnsi="Arial" w:cs="Arial"/>
                  <w:sz w:val="20"/>
                  <w:szCs w:val="20"/>
                </w:rPr>
                <w:t>https://www.poettinger.at/de_at/Newsroom/Pressebild/5201</w:t>
              </w:r>
            </w:hyperlink>
          </w:p>
        </w:tc>
      </w:tr>
    </w:tbl>
    <w:p w14:paraId="12F0E5F2" w14:textId="77777777" w:rsidR="007C4AB4" w:rsidRPr="00392EFB" w:rsidRDefault="007C4AB4" w:rsidP="007C4AB4">
      <w:pPr>
        <w:pStyle w:val="Corpsdetexte3"/>
      </w:pPr>
    </w:p>
    <w:p w14:paraId="4E74AD32" w14:textId="77777777" w:rsidR="007C4AB4" w:rsidRDefault="007C4AB4" w:rsidP="00584C45">
      <w:pPr>
        <w:widowControl w:val="0"/>
        <w:autoSpaceDE w:val="0"/>
        <w:autoSpaceDN w:val="0"/>
        <w:adjustRightInd w:val="0"/>
        <w:spacing w:line="360" w:lineRule="auto"/>
        <w:jc w:val="both"/>
        <w:rPr>
          <w:rFonts w:ascii="Arial" w:hAnsi="Arial"/>
          <w:snapToGrid w:val="0"/>
          <w:color w:val="000000"/>
        </w:rPr>
      </w:pPr>
    </w:p>
    <w:p w14:paraId="0A29242C" w14:textId="21622D68" w:rsidR="00A10D72" w:rsidRDefault="00A753F3" w:rsidP="00584C45">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2" w:history="1">
        <w:r>
          <w:rPr>
            <w:rStyle w:val="Lienhypertexte"/>
            <w:rFonts w:ascii="Arial" w:hAnsi="Arial"/>
            <w:snapToGrid w:val="0"/>
          </w:rPr>
          <w:t>https://www.poettinger.at/fr_fr/services/downloadcenter</w:t>
        </w:r>
      </w:hyperlink>
    </w:p>
    <w:p w14:paraId="6A9CDFD8" w14:textId="77777777" w:rsidR="007D3560" w:rsidRPr="00584C45" w:rsidRDefault="007D3560" w:rsidP="00584C45">
      <w:pPr>
        <w:widowControl w:val="0"/>
        <w:autoSpaceDE w:val="0"/>
        <w:autoSpaceDN w:val="0"/>
        <w:adjustRightInd w:val="0"/>
        <w:spacing w:line="360" w:lineRule="auto"/>
        <w:jc w:val="both"/>
        <w:rPr>
          <w:rFonts w:ascii="Arial" w:hAnsi="Arial" w:cs="Arial"/>
          <w:snapToGrid w:val="0"/>
          <w:color w:val="000000"/>
          <w:lang w:eastAsia="de-DE"/>
        </w:rPr>
      </w:pPr>
    </w:p>
    <w:sectPr w:rsidR="007D3560" w:rsidRPr="00584C45" w:rsidSect="00584C45">
      <w:headerReference w:type="default" r:id="rId13"/>
      <w:footerReference w:type="default" r:id="rId14"/>
      <w:pgSz w:w="11907" w:h="16840" w:code="9"/>
      <w:pgMar w:top="1440" w:right="155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W1G 45 Lt">
    <w:altName w:val="Arial"/>
    <w:panose1 w:val="00000000000000000000"/>
    <w:charset w:val="00"/>
    <w:family w:val="swiss"/>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584C45" w:rsidRDefault="004C157C" w:rsidP="000072D4">
    <w:pPr>
      <w:rPr>
        <w:rFonts w:ascii="Arial" w:hAnsi="Arial" w:cs="Arial"/>
        <w:b/>
        <w:sz w:val="18"/>
        <w:szCs w:val="18"/>
        <w:lang w:val="de-DE"/>
      </w:rPr>
    </w:pPr>
    <w:r w:rsidRPr="00584C45">
      <w:rPr>
        <w:rFonts w:ascii="Arial" w:hAnsi="Arial"/>
        <w:b/>
        <w:sz w:val="18"/>
        <w:szCs w:val="18"/>
        <w:lang w:val="de-DE"/>
      </w:rPr>
      <w:t xml:space="preserve">PÖTTINGER Landtechnik GmbH – Communication </w:t>
    </w:r>
    <w:proofErr w:type="spellStart"/>
    <w:r w:rsidRPr="00584C45">
      <w:rPr>
        <w:rFonts w:ascii="Arial" w:hAnsi="Arial"/>
        <w:b/>
        <w:sz w:val="18"/>
        <w:szCs w:val="18"/>
        <w:lang w:val="de-DE"/>
      </w:rPr>
      <w:t>d'entreprise</w:t>
    </w:r>
    <w:proofErr w:type="spellEnd"/>
  </w:p>
  <w:p w14:paraId="6298482F" w14:textId="77777777" w:rsidR="004C157C" w:rsidRPr="00584C45" w:rsidRDefault="004C157C" w:rsidP="000072D4">
    <w:pPr>
      <w:rPr>
        <w:rFonts w:ascii="Arial" w:hAnsi="Arial" w:cs="Arial"/>
        <w:sz w:val="18"/>
        <w:szCs w:val="18"/>
        <w:lang w:val="de-DE"/>
      </w:rPr>
    </w:pPr>
    <w:r w:rsidRPr="00584C45">
      <w:rPr>
        <w:rFonts w:ascii="Arial" w:hAnsi="Arial"/>
        <w:sz w:val="18"/>
        <w:szCs w:val="18"/>
        <w:lang w:val="de-DE"/>
      </w:rPr>
      <w:t>Inge Steibl, Industriegelände 1, A-4710 Grieskirchen</w:t>
    </w:r>
  </w:p>
  <w:p w14:paraId="07160D11" w14:textId="30E63B37"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4FA361CB"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sidR="00584C45">
      <w:rPr>
        <w:rFonts w:ascii="Arial" w:hAnsi="Arial"/>
        <w:sz w:val="28"/>
        <w:szCs w:val="28"/>
      </w:rPr>
      <w:t xml:space="preserve">    </w:t>
    </w:r>
    <w:r>
      <w:rPr>
        <w:rFonts w:ascii="Arial" w:hAnsi="Arial"/>
        <w:sz w:val="28"/>
        <w:szCs w:val="28"/>
      </w:rPr>
      <w:t xml:space="preserve">     </w:t>
    </w:r>
    <w:r>
      <w:rPr>
        <w:noProof/>
      </w:rPr>
      <w:drawing>
        <wp:inline distT="0" distB="0" distL="0" distR="0" wp14:anchorId="5728ECA6" wp14:editId="580B8E58">
          <wp:extent cx="2266950" cy="222250"/>
          <wp:effectExtent l="19050" t="0" r="0" b="0"/>
          <wp:docPr id="8"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En-tte"/>
      <w:tabs>
        <w:tab w:val="clear" w:pos="9072"/>
        <w:tab w:val="left" w:pos="5040"/>
        <w:tab w:val="left" w:pos="5760"/>
      </w:tabs>
    </w:pPr>
    <w:r>
      <w:tab/>
    </w:r>
    <w:r>
      <w:tab/>
    </w:r>
  </w:p>
  <w:p w14:paraId="1BEC8F5A" w14:textId="77777777" w:rsidR="004C157C" w:rsidRDefault="004C157C" w:rsidP="00164A93">
    <w:pPr>
      <w:pStyle w:val="En-tt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9699E"/>
    <w:rsid w:val="00096D82"/>
    <w:rsid w:val="000A117E"/>
    <w:rsid w:val="000A37F5"/>
    <w:rsid w:val="000A668E"/>
    <w:rsid w:val="000D3CD3"/>
    <w:rsid w:val="000D4DE0"/>
    <w:rsid w:val="000F5005"/>
    <w:rsid w:val="0010245E"/>
    <w:rsid w:val="00110880"/>
    <w:rsid w:val="00115487"/>
    <w:rsid w:val="001212C1"/>
    <w:rsid w:val="001357A3"/>
    <w:rsid w:val="0014209C"/>
    <w:rsid w:val="00147E31"/>
    <w:rsid w:val="00154644"/>
    <w:rsid w:val="00164A93"/>
    <w:rsid w:val="00181F74"/>
    <w:rsid w:val="00187216"/>
    <w:rsid w:val="001D55B0"/>
    <w:rsid w:val="001E7B4B"/>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0FF1"/>
    <w:rsid w:val="00321523"/>
    <w:rsid w:val="00321D04"/>
    <w:rsid w:val="003225B2"/>
    <w:rsid w:val="00325C60"/>
    <w:rsid w:val="00356920"/>
    <w:rsid w:val="00362490"/>
    <w:rsid w:val="00365C9B"/>
    <w:rsid w:val="00371105"/>
    <w:rsid w:val="00385339"/>
    <w:rsid w:val="00392EFB"/>
    <w:rsid w:val="003C0C9A"/>
    <w:rsid w:val="003E1D16"/>
    <w:rsid w:val="003E2790"/>
    <w:rsid w:val="003E603B"/>
    <w:rsid w:val="00420E26"/>
    <w:rsid w:val="004235C5"/>
    <w:rsid w:val="00437D4B"/>
    <w:rsid w:val="00456B03"/>
    <w:rsid w:val="004624BB"/>
    <w:rsid w:val="004627DF"/>
    <w:rsid w:val="004669F8"/>
    <w:rsid w:val="00471DE4"/>
    <w:rsid w:val="00477B32"/>
    <w:rsid w:val="004858CD"/>
    <w:rsid w:val="004866B6"/>
    <w:rsid w:val="004903DD"/>
    <w:rsid w:val="00491F1B"/>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5684C"/>
    <w:rsid w:val="00580261"/>
    <w:rsid w:val="00584C45"/>
    <w:rsid w:val="005C1C9B"/>
    <w:rsid w:val="005C202C"/>
    <w:rsid w:val="005C35CD"/>
    <w:rsid w:val="005F6501"/>
    <w:rsid w:val="00620C04"/>
    <w:rsid w:val="00632C75"/>
    <w:rsid w:val="00635F07"/>
    <w:rsid w:val="006529B2"/>
    <w:rsid w:val="006621C7"/>
    <w:rsid w:val="00676E15"/>
    <w:rsid w:val="00693EC5"/>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B7B85"/>
    <w:rsid w:val="007C4AB4"/>
    <w:rsid w:val="007D08A4"/>
    <w:rsid w:val="007D3560"/>
    <w:rsid w:val="007F1626"/>
    <w:rsid w:val="0085104F"/>
    <w:rsid w:val="0088742A"/>
    <w:rsid w:val="00896EDB"/>
    <w:rsid w:val="008A2819"/>
    <w:rsid w:val="008A6D0C"/>
    <w:rsid w:val="008B4166"/>
    <w:rsid w:val="008C0A6D"/>
    <w:rsid w:val="008D66F5"/>
    <w:rsid w:val="008E2CC1"/>
    <w:rsid w:val="008F08D0"/>
    <w:rsid w:val="008F1E41"/>
    <w:rsid w:val="008F25AE"/>
    <w:rsid w:val="008F2753"/>
    <w:rsid w:val="009024D9"/>
    <w:rsid w:val="00902F84"/>
    <w:rsid w:val="009051BF"/>
    <w:rsid w:val="00907CA1"/>
    <w:rsid w:val="00913992"/>
    <w:rsid w:val="00921E4F"/>
    <w:rsid w:val="009252FC"/>
    <w:rsid w:val="0093496E"/>
    <w:rsid w:val="00950F30"/>
    <w:rsid w:val="009615C8"/>
    <w:rsid w:val="00961D21"/>
    <w:rsid w:val="00967928"/>
    <w:rsid w:val="00972F87"/>
    <w:rsid w:val="0098260E"/>
    <w:rsid w:val="00986666"/>
    <w:rsid w:val="009866A7"/>
    <w:rsid w:val="009B3A73"/>
    <w:rsid w:val="009C3D5A"/>
    <w:rsid w:val="009F17C1"/>
    <w:rsid w:val="009F3747"/>
    <w:rsid w:val="009F47C5"/>
    <w:rsid w:val="009F58E4"/>
    <w:rsid w:val="00A02FB2"/>
    <w:rsid w:val="00A0380D"/>
    <w:rsid w:val="00A10D72"/>
    <w:rsid w:val="00A17CC2"/>
    <w:rsid w:val="00A3063B"/>
    <w:rsid w:val="00A330F1"/>
    <w:rsid w:val="00A45347"/>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2609E"/>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4074D"/>
    <w:rsid w:val="00D4767F"/>
    <w:rsid w:val="00D708FF"/>
    <w:rsid w:val="00D722A4"/>
    <w:rsid w:val="00D731A2"/>
    <w:rsid w:val="00D737CD"/>
    <w:rsid w:val="00D839D6"/>
    <w:rsid w:val="00D97481"/>
    <w:rsid w:val="00DA4CBC"/>
    <w:rsid w:val="00DA6F0D"/>
    <w:rsid w:val="00DC37C9"/>
    <w:rsid w:val="00DF7C11"/>
    <w:rsid w:val="00E15C1B"/>
    <w:rsid w:val="00E510C4"/>
    <w:rsid w:val="00E53C3E"/>
    <w:rsid w:val="00E54FB4"/>
    <w:rsid w:val="00E554DD"/>
    <w:rsid w:val="00E76C27"/>
    <w:rsid w:val="00E76E99"/>
    <w:rsid w:val="00E91883"/>
    <w:rsid w:val="00EB547A"/>
    <w:rsid w:val="00ED05DF"/>
    <w:rsid w:val="00ED0736"/>
    <w:rsid w:val="00ED2B8F"/>
    <w:rsid w:val="00ED7A66"/>
    <w:rsid w:val="00F058CF"/>
    <w:rsid w:val="00F132D5"/>
    <w:rsid w:val="00F22A2A"/>
    <w:rsid w:val="00F23BE8"/>
    <w:rsid w:val="00F2404A"/>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 w:type="paragraph" w:customStyle="1" w:styleId="CP">
    <w:name w:val="CP"/>
    <w:basedOn w:val="Normal"/>
    <w:next w:val="Normal"/>
    <w:uiPriority w:val="99"/>
    <w:rsid w:val="00E91883"/>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63716488">
      <w:bodyDiv w:val="1"/>
      <w:marLeft w:val="0"/>
      <w:marRight w:val="0"/>
      <w:marTop w:val="0"/>
      <w:marBottom w:val="0"/>
      <w:divBdr>
        <w:top w:val="none" w:sz="0" w:space="0" w:color="auto"/>
        <w:left w:val="none" w:sz="0" w:space="0" w:color="auto"/>
        <w:bottom w:val="none" w:sz="0" w:space="0" w:color="auto"/>
        <w:right w:val="none" w:sz="0" w:space="0" w:color="auto"/>
      </w:divBdr>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2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3860-89CE-4176-8048-0C2B53F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3</cp:revision>
  <cp:lastPrinted>2022-05-09T11:54:00Z</cp:lastPrinted>
  <dcterms:created xsi:type="dcterms:W3CDTF">2022-06-20T10:49:00Z</dcterms:created>
  <dcterms:modified xsi:type="dcterms:W3CDTF">2022-06-24T09:47:00Z</dcterms:modified>
</cp:coreProperties>
</file>